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45A70" w14:textId="60CE86D5" w:rsidR="00140184" w:rsidRDefault="00140184" w:rsidP="00140184">
      <w:pPr>
        <w:jc w:val="center"/>
        <w:rPr>
          <w:b/>
          <w:bCs/>
          <w:u w:val="single"/>
        </w:rPr>
      </w:pPr>
      <w:r w:rsidRPr="00140184">
        <w:rPr>
          <w:b/>
          <w:bCs/>
          <w:u w:val="single"/>
        </w:rPr>
        <w:t>Chapter One</w:t>
      </w:r>
    </w:p>
    <w:p w14:paraId="0F21EFB1" w14:textId="77777777" w:rsidR="00140184" w:rsidRPr="00140184" w:rsidRDefault="00140184" w:rsidP="001401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A company acquires a rather large investment in another corporation. What criteria determine whether the investor should apply the equity method of accounting to this investment?</w:t>
      </w:r>
    </w:p>
    <w:p w14:paraId="7D0835AD" w14:textId="77777777" w:rsidR="00140184" w:rsidRPr="00140184" w:rsidRDefault="00140184" w:rsidP="001401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What accounting treatments are appropriate for investments in equity securities without readily determinable fair values? </w:t>
      </w:r>
    </w:p>
    <w:p w14:paraId="01FF7C69" w14:textId="77777777" w:rsidR="00140184" w:rsidRPr="00140184" w:rsidRDefault="00140184" w:rsidP="001401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What indicates an investor’s ability to significantly influence the decision-making process of an investee? </w:t>
      </w:r>
    </w:p>
    <w:p w14:paraId="6278E487" w14:textId="77777777" w:rsidR="00140184" w:rsidRPr="00140184" w:rsidRDefault="00140184" w:rsidP="001401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Why does the equity method record dividends from an investee as a reduction in the investment account, not as dividend income? </w:t>
      </w:r>
    </w:p>
    <w:p w14:paraId="19D995A2" w14:textId="415484D6" w:rsidR="00140184" w:rsidRPr="00140184" w:rsidRDefault="00140184" w:rsidP="001401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Jones Company owns a 25 percent interest in shares of Sandridge Company common stock. Under what circumstances might Jones decide that the equity method would not be appropriate to account for this investment?</w:t>
      </w:r>
    </w:p>
    <w:p w14:paraId="6E177936" w14:textId="275C5D50" w:rsidR="00140184" w:rsidRDefault="00140184" w:rsidP="00140184">
      <w:pPr>
        <w:jc w:val="center"/>
        <w:rPr>
          <w:b/>
          <w:bCs/>
          <w:u w:val="single"/>
        </w:rPr>
      </w:pPr>
    </w:p>
    <w:p w14:paraId="1D7491D1" w14:textId="4660788A" w:rsidR="00140184" w:rsidRDefault="00140184" w:rsidP="0014018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Problems </w:t>
      </w:r>
    </w:p>
    <w:p w14:paraId="79B95329" w14:textId="77777777" w:rsidR="00140184" w:rsidRP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When an investor uses the equity method to account for investments in common stock, the investor’s share of cash dividends from the investee should be recorded as </w:t>
      </w:r>
    </w:p>
    <w:p w14:paraId="0372F507" w14:textId="77777777" w:rsidR="00140184" w:rsidRDefault="00140184" w:rsidP="0014018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deduction from the investor’s share of the investee’s profits. </w:t>
      </w:r>
    </w:p>
    <w:p w14:paraId="569346CD" w14:textId="77777777" w:rsidR="00140184" w:rsidRDefault="00140184" w:rsidP="0014018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Dividend income. </w:t>
      </w:r>
    </w:p>
    <w:p w14:paraId="60FCC251" w14:textId="77777777" w:rsidR="00140184" w:rsidRDefault="00140184" w:rsidP="0014018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deduction from the stockholders’ equity account, Dividends to Stockholders. </w:t>
      </w:r>
    </w:p>
    <w:p w14:paraId="2E359C15" w14:textId="55C6DFD8" w:rsidR="00140184" w:rsidRDefault="00140184" w:rsidP="0014018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A deduction from the investment account. (AICPA adapted)</w:t>
      </w:r>
    </w:p>
    <w:p w14:paraId="4986389C" w14:textId="77777777" w:rsidR="00140184" w:rsidRDefault="00140184" w:rsidP="0014018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730C8CD6" w14:textId="77777777" w:rsid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Which of the following does not indicate an investor company’s ability to significantly influence an investee? </w:t>
      </w:r>
    </w:p>
    <w:p w14:paraId="7D638904" w14:textId="77777777" w:rsidR="00140184" w:rsidRDefault="00140184" w:rsidP="001401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Material intra-entity transactions. </w:t>
      </w:r>
    </w:p>
    <w:p w14:paraId="1797218C" w14:textId="77777777" w:rsidR="00140184" w:rsidRDefault="00140184" w:rsidP="001401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investor owns 30 percent of the </w:t>
      </w:r>
      <w:proofErr w:type="gramStart"/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investee</w:t>
      </w:r>
      <w:proofErr w:type="gramEnd"/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but another owner holds the remaining 70 percent. </w:t>
      </w:r>
    </w:p>
    <w:p w14:paraId="2DDF5789" w14:textId="77777777" w:rsidR="00140184" w:rsidRDefault="00140184" w:rsidP="001401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Interchange of personnel. </w:t>
      </w:r>
    </w:p>
    <w:p w14:paraId="7A3737A7" w14:textId="3B3AFE9A" w:rsidR="00140184" w:rsidRDefault="00140184" w:rsidP="001401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Technological dependency. </w:t>
      </w:r>
    </w:p>
    <w:p w14:paraId="61463B93" w14:textId="499C76F0" w:rsid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3A69B708" w14:textId="77777777" w:rsid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Franklin purchases 40 percent of Johnson Company on January 1 for $500,000. Although Franklin did not use it, this acquisition gave Franklin the ability to apply significant influence </w:t>
      </w:r>
      <w:proofErr w:type="gramStart"/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to</w:t>
      </w:r>
      <w:proofErr w:type="gramEnd"/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Johnson’s operating and financing policies. Johnson reports assets on that date of $1,400,000 with liabilities of $500,000. One building with a seven-year remaining life is undervalued on Johnson’s books by $140,000. Also, Johnson’s book value for its trademark (10-year remaining life) is undervalued by $210,000. During the year, Johnson reports net income of $90,000 while declaring dividends of $30,000. What is the Investment in Johnson Company balance (equity method) in Franklin’s financial records as of December 31? </w:t>
      </w:r>
    </w:p>
    <w:p w14:paraId="466477BF" w14:textId="77777777" w:rsidR="00140184" w:rsidRDefault="00140184" w:rsidP="0014018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$504,000 </w:t>
      </w:r>
    </w:p>
    <w:p w14:paraId="5D79887A" w14:textId="77777777" w:rsidR="00140184" w:rsidRDefault="00140184" w:rsidP="0014018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$507,600 </w:t>
      </w:r>
    </w:p>
    <w:p w14:paraId="2F27602F" w14:textId="77777777" w:rsidR="00140184" w:rsidRDefault="00140184" w:rsidP="0014018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$513,900 </w:t>
      </w:r>
    </w:p>
    <w:p w14:paraId="7043531B" w14:textId="1A75AAD5" w:rsidR="00140184" w:rsidRPr="00140184" w:rsidRDefault="00140184" w:rsidP="0014018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40184">
        <w:rPr>
          <w:rFonts w:ascii="Times New Roman" w:eastAsia="Times New Roman" w:hAnsi="Times New Roman" w:cs="Times New Roman"/>
          <w:sz w:val="24"/>
          <w:szCs w:val="24"/>
          <w:lang w:val="en"/>
        </w:rPr>
        <w:t>$516,000</w:t>
      </w:r>
    </w:p>
    <w:p w14:paraId="128BB3E6" w14:textId="77777777" w:rsidR="00140184" w:rsidRP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111966E2" w14:textId="77777777" w:rsidR="00140184" w:rsidRDefault="00140184" w:rsidP="00140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14:paraId="2DB2CCD7" w14:textId="77777777" w:rsidR="00140184" w:rsidRDefault="00140184" w:rsidP="00140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</w:p>
    <w:p w14:paraId="3D46D80A" w14:textId="168CAC18" w:rsidR="00140184" w:rsidRDefault="00140184" w:rsidP="00140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14018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lastRenderedPageBreak/>
        <w:t>Journal Entry</w:t>
      </w:r>
    </w:p>
    <w:p w14:paraId="5E0090D9" w14:textId="551F7E42" w:rsidR="00140184" w:rsidRPr="00140184" w:rsidRDefault="00140184" w:rsidP="001401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P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repare journal entries for the following situation for Centenary Corp. On 1-1-2020, Centenary purchases 10% of the common stock of Princeton Corp, for $100,000. Centenary demonstrates no evidence of control over Princeton.  On 6-30-2020, the end of Princeton's fiscal year, Princeton indicates it has earnings of $50,000. On 8-1-2020,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Princeton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pays dividends totaling $10,000. On 9-1-2020, Centenary buys an additional 15% of the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outstanding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shares of Princeton paying $75,000. On 6-30-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2021, Princeton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reports earnings of $100,000. Princeton pays total dividends of $20,000 on 8-1-2020. Please all necessary journal entries for Centenary including at its year end of 12-31-2020 and 12-31-2021. </w:t>
      </w:r>
    </w:p>
    <w:p w14:paraId="7DFD1B53" w14:textId="77777777" w:rsidR="00140184" w:rsidRPr="00140184" w:rsidRDefault="00140184" w:rsidP="00140184">
      <w:pPr>
        <w:jc w:val="center"/>
        <w:rPr>
          <w:b/>
          <w:bCs/>
          <w:u w:val="single"/>
        </w:rPr>
      </w:pPr>
    </w:p>
    <w:sectPr w:rsidR="00140184" w:rsidRPr="00140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76E"/>
    <w:multiLevelType w:val="hybridMultilevel"/>
    <w:tmpl w:val="0B5E70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20613"/>
    <w:multiLevelType w:val="hybridMultilevel"/>
    <w:tmpl w:val="9E247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85B40"/>
    <w:multiLevelType w:val="hybridMultilevel"/>
    <w:tmpl w:val="E69461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3189"/>
    <w:multiLevelType w:val="hybridMultilevel"/>
    <w:tmpl w:val="245E6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82BF5"/>
    <w:multiLevelType w:val="hybridMultilevel"/>
    <w:tmpl w:val="FFAE6C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C0B7514"/>
    <w:multiLevelType w:val="hybridMultilevel"/>
    <w:tmpl w:val="B8122F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47357F"/>
    <w:multiLevelType w:val="hybridMultilevel"/>
    <w:tmpl w:val="E8E675F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84"/>
    <w:rsid w:val="0014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D743"/>
  <w15:chartTrackingRefBased/>
  <w15:docId w15:val="{A88D72BC-1B8C-4B48-9FF8-8016DB47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2020-01-21T23:21:00Z</dcterms:created>
  <dcterms:modified xsi:type="dcterms:W3CDTF">2020-01-21T23:28:00Z</dcterms:modified>
</cp:coreProperties>
</file>